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media/image1.jpeg" ContentType="image/jpeg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s/font4.odttf" ContentType="application/vnd.openxmlformats-officedocument.obfuscatedFont"/>
  <Override PartName="/word/fonts/font3.odttf" ContentType="application/vnd.openxmlformats-officedocument.obfuscatedFont"/>
  <Override PartName="/word/fonts/font2.odttf" ContentType="application/vnd.openxmlformats-officedocument.obfuscatedFont"/>
  <Override PartName="/word/fonts/font1.odttf" ContentType="application/vnd.openxmlformats-officedocument.obfuscatedFont"/>
  <Override PartName="/word/fonts/font5.odttf" ContentType="application/vnd.openxmlformats-officedocument.obfuscatedFont"/>
  <Override PartName="/word/fonts/font10.odttf" ContentType="application/vnd.openxmlformats-officedocument.obfuscatedFont"/>
  <Override PartName="/word/fonts/font9.odttf" ContentType="application/vnd.openxmlformats-officedocument.obfuscatedFont"/>
  <Override PartName="/word/fonts/font8.odttf" ContentType="application/vnd.openxmlformats-officedocument.obfuscatedFont"/>
  <Override PartName="/word/fonts/font7.odttf" ContentType="application/vnd.openxmlformats-officedocument.obfuscatedFont"/>
  <Override PartName="/word/fonts/font6.odttf" ContentType="application/vnd.openxmlformats-officedocument.obfuscatedFont"/>
  <Override PartName="/word/document.xml" ContentType="application/vnd.openxmlformats-officedocument.wordprocessingml.document.main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before="0" w:after="0"/>
        <w:jc w:val="center"/>
        <w:rPr>
          <w:rFonts w:ascii="Avenir Next Cyr" w:hAnsi="Avenir Next Cyr"/>
          <w:b/>
        </w:rPr>
      </w:pPr>
      <w:r>
        <w:rPr/>
        <mc:AlternateContent>
          <mc:Choice Requires="wps">
            <w:drawing>
              <wp:inline distT="0" distB="0" distL="0" distR="0">
                <wp:extent cx="1543050" cy="542925"/>
                <wp:effectExtent l="0" t="0" r="0" b="0"/>
                <wp:docPr id="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1542960" cy="5428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stroked="f" o:allowincell="f" style="position:absolute;margin-left:0pt;margin-top:-42.8pt;width:121.45pt;height:42.7pt;mso-wrap-style:none;v-text-anchor:middle;mso-position-vertical:top" type="_x0000_t75">
                <v:imagedata r:id="rId3" o:detectmouseclick="t"/>
                <v:stroke color="#3465a4" joinstyle="round" endcap="flat"/>
                <w10:wrap type="none"/>
              </v:shape>
            </w:pict>
          </mc:Fallback>
        </mc:AlternateContent>
      </w:r>
    </w:p>
    <w:p>
      <w:pPr>
        <w:pStyle w:val="Normal"/>
        <w:spacing w:before="0" w:after="0"/>
        <w:rPr>
          <w:rFonts w:ascii="Avenir Next Cyr" w:hAnsi="Avenir Next Cyr"/>
          <w:b/>
        </w:rPr>
      </w:pPr>
      <w:r>
        <w:rPr>
          <w:rFonts w:ascii="Avenir Next Cyr" w:hAnsi="Avenir Next Cyr"/>
          <w:b/>
        </w:rPr>
      </w:r>
    </w:p>
    <w:p>
      <w:pPr>
        <w:pStyle w:val="Normal"/>
        <w:jc w:val="center"/>
        <w:rPr>
          <w:rFonts w:ascii="Avenir Next Cyr" w:hAnsi="Avenir Next Cyr"/>
          <w:b/>
          <w:sz w:val="18"/>
          <w:szCs w:val="18"/>
        </w:rPr>
      </w:pPr>
      <w:r>
        <w:rPr>
          <w:rFonts w:ascii="Avenir Next Cyr" w:hAnsi="Avenir Next Cyr"/>
          <w:b/>
          <w:sz w:val="18"/>
          <w:szCs w:val="18"/>
        </w:rPr>
        <w:t>Акционерное общество «Южные электрические сети Камчатки»</w:t>
      </w:r>
    </w:p>
    <w:p>
      <w:pPr>
        <w:pStyle w:val="Normal"/>
        <w:jc w:val="center"/>
        <w:rPr>
          <w:rFonts w:ascii="Avenir Next Cyr" w:hAnsi="Avenir Next Cyr"/>
          <w:b/>
          <w:sz w:val="18"/>
          <w:szCs w:val="18"/>
        </w:rPr>
      </w:pPr>
      <w:r>
        <w:rPr>
          <w:rFonts w:ascii="Avenir Next Cyr" w:hAnsi="Avenir Next Cyr"/>
          <w:b/>
          <w:sz w:val="18"/>
          <w:szCs w:val="18"/>
        </w:rPr>
        <w:t>(АО «ЮЭСК»)</w:t>
      </w:r>
    </w:p>
    <w:p>
      <w:pPr>
        <w:pStyle w:val="Normal"/>
        <w:spacing w:before="0" w:after="0"/>
        <w:jc w:val="center"/>
        <w:rPr>
          <w:rFonts w:ascii="Avenir Next Cyr" w:hAnsi="Avenir Next Cyr"/>
          <w:b/>
          <w:sz w:val="20"/>
          <w:szCs w:val="20"/>
        </w:rPr>
      </w:pPr>
      <w:r>
        <w:rPr>
          <w:rFonts w:ascii="Avenir Next Cyr" w:hAnsi="Avenir Next Cyr"/>
          <w:b/>
          <w:sz w:val="20"/>
          <w:szCs w:val="20"/>
        </w:rPr>
        <w:t>ул. Тундровая, 2, Петропавловск-Камчатский, Россия,683009</w:t>
      </w:r>
    </w:p>
    <w:p>
      <w:pPr>
        <w:pStyle w:val="Normal"/>
        <w:spacing w:before="0" w:after="0"/>
        <w:jc w:val="center"/>
        <w:rPr>
          <w:rFonts w:ascii="Avenir Next Cyr" w:hAnsi="Avenir Next Cyr"/>
          <w:b/>
          <w:sz w:val="20"/>
          <w:szCs w:val="20"/>
        </w:rPr>
      </w:pPr>
      <w:r>
        <w:rPr>
          <w:rFonts w:ascii="Avenir Next Cyr" w:hAnsi="Avenir Next Cyr"/>
          <w:b/>
          <w:sz w:val="20"/>
          <w:szCs w:val="20"/>
        </w:rPr>
        <w:t>Тел.(4152) 41-73-68 Факс (4152)22-43-23, E-mail: uesk-sekr@kamenergo.ru</w:t>
      </w:r>
    </w:p>
    <w:p>
      <w:pPr>
        <w:pStyle w:val="Normal"/>
        <w:spacing w:before="0" w:after="0"/>
        <w:jc w:val="center"/>
        <w:rPr>
          <w:rFonts w:ascii="Avenir Next Cyr" w:hAnsi="Avenir Next Cyr"/>
          <w:b/>
          <w:sz w:val="20"/>
          <w:szCs w:val="20"/>
        </w:rPr>
      </w:pPr>
      <w:r>
        <w:rPr>
          <w:rFonts w:ascii="Avenir Next Cyr" w:hAnsi="Avenir Next Cyr"/>
          <w:b/>
          <w:sz w:val="20"/>
          <w:szCs w:val="20"/>
        </w:rPr>
        <w:t>ОКПО 71823314, ОГРН 1054100032744, ИНН/КПП 4101101796/ 410101001</w:t>
      </w:r>
    </w:p>
    <w:p>
      <w:pPr>
        <w:pStyle w:val="Normal"/>
        <w:spacing w:before="0" w:after="0"/>
        <w:jc w:val="center"/>
        <w:rPr>
          <w:rFonts w:ascii="Avenir Next Cyr" w:hAnsi="Avenir Next Cyr"/>
          <w:b/>
          <w:sz w:val="24"/>
          <w:szCs w:val="24"/>
        </w:rPr>
      </w:pPr>
      <w:r>
        <w:rPr>
          <w:rFonts w:ascii="Avenir Next Cyr" w:hAnsi="Avenir Next Cyr"/>
          <w:b/>
          <w:sz w:val="24"/>
          <w:szCs w:val="24"/>
        </w:rPr>
      </w:r>
    </w:p>
    <w:p>
      <w:pPr>
        <w:pStyle w:val="Normal"/>
        <w:spacing w:before="0" w:after="0"/>
        <w:rPr>
          <w:rFonts w:ascii="Avenir Next Cyr" w:hAnsi="Avenir Next Cyr"/>
          <w:b/>
          <w:sz w:val="16"/>
          <w:szCs w:val="16"/>
        </w:rPr>
      </w:pPr>
      <w:r>
        <w:rPr>
          <w:rFonts w:ascii="Avenir Next Cyr" w:hAnsi="Avenir Next Cyr"/>
          <w:b/>
          <w:sz w:val="20"/>
          <w:szCs w:val="20"/>
        </w:rPr>
        <w:t xml:space="preserve">                                           </w:t>
      </w:r>
      <w:r>
        <w:rPr>
          <w:rFonts w:ascii="Avenir Next Cyr" w:hAnsi="Avenir Next Cyr"/>
          <w:b/>
          <w:sz w:val="16"/>
          <w:szCs w:val="16"/>
        </w:rPr>
        <w:t>______________________________________ №_____________________________________________</w:t>
      </w:r>
    </w:p>
    <w:p>
      <w:pPr>
        <w:pStyle w:val="Normal"/>
        <w:spacing w:before="0" w:after="0"/>
        <w:rPr>
          <w:rFonts w:ascii="Avenir Next Cyr" w:hAnsi="Avenir Next Cyr"/>
          <w:b/>
          <w:sz w:val="16"/>
          <w:szCs w:val="16"/>
        </w:rPr>
      </w:pPr>
      <w:r>
        <w:rPr>
          <w:rFonts w:ascii="Avenir Next Cyr" w:hAnsi="Avenir Next Cyr"/>
          <w:b/>
          <w:sz w:val="16"/>
          <w:szCs w:val="16"/>
        </w:rPr>
      </w:r>
    </w:p>
    <w:p>
      <w:pPr>
        <w:pStyle w:val="Normal"/>
        <w:spacing w:before="0" w:after="0"/>
        <w:rPr>
          <w:rFonts w:ascii="Avenir Next Cyr" w:hAnsi="Avenir Next Cyr"/>
          <w:b/>
          <w:bCs/>
          <w:sz w:val="16"/>
          <w:szCs w:val="16"/>
        </w:rPr>
      </w:pPr>
      <w:r>
        <w:rPr>
          <w:rFonts w:ascii="Avenir Next Cyr" w:hAnsi="Avenir Next Cyr"/>
          <w:b/>
          <w:bCs/>
          <w:sz w:val="16"/>
          <w:szCs w:val="16"/>
        </w:rPr>
        <w:t xml:space="preserve">                                               </w:t>
      </w:r>
      <w:r>
        <w:rPr>
          <w:rFonts w:ascii="Avenir Next Cyr" w:hAnsi="Avenir Next Cyr"/>
          <w:b/>
          <w:bCs/>
          <w:sz w:val="16"/>
          <w:szCs w:val="16"/>
        </w:rPr>
        <w:t>на №____</w:t>
      </w:r>
      <w:r>
        <w:rPr>
          <w:rFonts w:ascii="Avenir Next Cyr" w:hAnsi="Avenir Next Cyr"/>
          <w:b/>
          <w:sz w:val="16"/>
          <w:szCs w:val="16"/>
        </w:rPr>
        <w:t>_________________________________</w:t>
      </w:r>
      <w:r>
        <w:rPr>
          <w:rFonts w:ascii="Avenir Next Cyr" w:hAnsi="Avenir Next Cyr"/>
          <w:b/>
          <w:bCs/>
          <w:sz w:val="16"/>
          <w:szCs w:val="16"/>
        </w:rPr>
        <w:t>от____</w:t>
      </w:r>
      <w:r>
        <w:rPr>
          <w:rFonts w:ascii="Avenir Next Cyr" w:hAnsi="Avenir Next Cyr"/>
          <w:b/>
          <w:sz w:val="16"/>
          <w:szCs w:val="16"/>
        </w:rPr>
        <w:t>_________</w:t>
      </w:r>
      <w:r>
        <w:rPr>
          <w:rFonts w:ascii="Avenir Next Cyr" w:hAnsi="Avenir Next Cyr"/>
          <w:b/>
          <w:bCs/>
          <w:sz w:val="16"/>
          <w:szCs w:val="16"/>
        </w:rPr>
        <w:t>_</w:t>
      </w:r>
      <w:r>
        <w:rPr>
          <w:rFonts w:ascii="Avenir Next Cyr" w:hAnsi="Avenir Next Cyr"/>
          <w:b/>
          <w:sz w:val="16"/>
          <w:szCs w:val="16"/>
        </w:rPr>
        <w:t>_____________________________</w:t>
      </w:r>
      <w:r>
        <w:rPr>
          <w:rFonts w:ascii="Avenir Next Cyr" w:hAnsi="Avenir Next Cyr"/>
          <w:b/>
          <w:bCs/>
          <w:sz w:val="16"/>
          <w:szCs w:val="16"/>
        </w:rPr>
        <w:t>__</w:t>
      </w:r>
    </w:p>
    <w:p>
      <w:pPr>
        <w:pStyle w:val="Normal"/>
        <w:spacing w:before="0" w:after="0"/>
        <w:rPr>
          <w:rFonts w:ascii="Avenir Next Cyr" w:hAnsi="Avenir Next Cyr"/>
          <w:b/>
          <w:bCs/>
          <w:sz w:val="16"/>
          <w:szCs w:val="16"/>
        </w:rPr>
      </w:pPr>
      <w:r>
        <w:rPr>
          <w:rFonts w:ascii="Avenir Next Cyr" w:hAnsi="Avenir Next Cyr"/>
          <w:b/>
          <w:bCs/>
          <w:sz w:val="16"/>
          <w:szCs w:val="16"/>
        </w:rPr>
      </w:r>
    </w:p>
    <w:p>
      <w:pPr>
        <w:pStyle w:val="Normal"/>
        <w:spacing w:before="0" w:after="0"/>
        <w:rPr>
          <w:rFonts w:ascii="Avenir Next Cyr" w:hAnsi="Avenir Next Cyr"/>
          <w:b/>
          <w:bCs/>
          <w:sz w:val="16"/>
          <w:szCs w:val="16"/>
        </w:rPr>
      </w:pPr>
      <w:r>
        <w:rPr>
          <w:rFonts w:ascii="Avenir Next Cyr" w:hAnsi="Avenir Next Cyr"/>
          <w:b/>
          <w:bCs/>
          <w:sz w:val="16"/>
          <w:szCs w:val="16"/>
        </w:rPr>
      </w:r>
    </w:p>
    <w:p>
      <w:pPr>
        <w:pStyle w:val="Normal"/>
        <w:widowControl w:val="false"/>
        <w:tabs>
          <w:tab w:val="clear" w:pos="708"/>
          <w:tab w:val="left" w:pos="0" w:leader="none"/>
        </w:tabs>
        <w:spacing w:lineRule="exact" w:line="400" w:before="0" w:after="0"/>
        <w:jc w:val="both"/>
        <w:rPr>
          <w:rFonts w:ascii="Times New Roman" w:hAnsi="Times New Roman" w:cs="Times New Roman"/>
          <w:b/>
          <w:color w:val="0D0D0D"/>
          <w:sz w:val="28"/>
          <w:szCs w:val="28"/>
        </w:rPr>
      </w:pPr>
      <w:r>
        <w:rPr>
          <w:rFonts w:cs="Times New Roman" w:ascii="Times New Roman" w:hAnsi="Times New Roman"/>
          <w:b/>
          <w:color w:val="0D0D0D"/>
          <w:sz w:val="28"/>
          <w:szCs w:val="28"/>
        </w:rPr>
        <w:t>Д</w:t>
      </w:r>
      <w:r>
        <w:rPr>
          <w:rFonts w:cs="Times New Roman" w:ascii="Times New Roman" w:hAnsi="Times New Roman"/>
          <w:b/>
          <w:bCs/>
          <w:color w:val="0D0D0D"/>
          <w:sz w:val="28"/>
          <w:szCs w:val="28"/>
        </w:rPr>
        <w:t>инамика аварийности (в том числе экономического ущерба) за 2020 год в сравнении с 2018 и 2019 гг.</w:t>
      </w:r>
    </w:p>
    <w:tbl>
      <w:tblPr>
        <w:tblW w:w="1535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firstRow="1" w:lastRow="0" w:firstColumn="1" w:lastColumn="0"/>
      </w:tblPr>
      <w:tblGrid>
        <w:gridCol w:w="4502"/>
        <w:gridCol w:w="10849"/>
      </w:tblGrid>
      <w:tr>
        <w:trPr/>
        <w:tc>
          <w:tcPr>
            <w:tcW w:w="4502" w:type="dxa"/>
            <w:tcBorders/>
            <w:shd w:color="auto" w:fill="auto" w:val="clea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</w:r>
          </w:p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>Январь-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>декабрь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 xml:space="preserve"> 2020 – </w:t>
            </w:r>
            <w:r>
              <w:rPr>
                <w:rFonts w:cs="Times New Roman" w:ascii="Times New Roman" w:hAnsi="Times New Roman"/>
                <w:b/>
                <w:bCs/>
                <w:color w:val="0D0D0D"/>
                <w:sz w:val="28"/>
                <w:szCs w:val="28"/>
                <w:lang w:eastAsia="x-none"/>
              </w:rPr>
              <w:t>48</w:t>
            </w: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  <w:lang w:eastAsia="x-none"/>
              </w:rPr>
              <w:t xml:space="preserve"> 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>авари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>и</w:t>
            </w:r>
          </w:p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>Январь-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>декабрь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 xml:space="preserve"> 2019 – </w:t>
            </w: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  <w:lang w:eastAsia="x-none"/>
              </w:rPr>
              <w:t>8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 xml:space="preserve"> авари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>й</w:t>
            </w:r>
          </w:p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>Январь-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>декабрь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 xml:space="preserve"> 2018 – </w:t>
            </w: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  <w:lang w:eastAsia="x-none"/>
              </w:rPr>
              <w:t>5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 xml:space="preserve"> авари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>й</w:t>
            </w:r>
          </w:p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</w:r>
          </w:p>
        </w:tc>
        <w:tc>
          <w:tcPr>
            <w:tcW w:w="10849" w:type="dxa"/>
            <w:tcBorders/>
            <w:shd w:color="auto" w:fill="auto" w:val="clea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</w:r>
          </w:p>
        </w:tc>
      </w:tr>
    </w:tbl>
    <w:p>
      <w:pPr>
        <w:pStyle w:val="Normal"/>
        <w:widowControl w:val="false"/>
        <w:spacing w:lineRule="exact" w:line="400" w:before="0" w:after="0"/>
        <w:ind w:firstLine="708"/>
        <w:jc w:val="both"/>
        <w:rPr>
          <w:rFonts w:ascii="Times New Roman" w:hAnsi="Times New Roman" w:cs="Times New Roman"/>
          <w:color w:val="0D0D0D"/>
          <w:sz w:val="28"/>
          <w:szCs w:val="28"/>
          <w:lang w:eastAsia="x-none"/>
        </w:rPr>
      </w:pP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  <w:t>В 2020 год</w:t>
      </w: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  <w:t>у</w:t>
      </w: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  <w:t xml:space="preserve"> – произошло </w:t>
      </w:r>
      <w:r>
        <w:rPr>
          <w:rFonts w:cs="Times New Roman" w:ascii="Times New Roman" w:hAnsi="Times New Roman"/>
          <w:b/>
          <w:color w:val="0D0D0D"/>
          <w:sz w:val="28"/>
          <w:szCs w:val="28"/>
          <w:lang w:eastAsia="x-none"/>
        </w:rPr>
        <w:t>48</w:t>
      </w: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  <w:t xml:space="preserve"> авари</w:t>
      </w: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  <w:t>й</w:t>
      </w: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  <w:t xml:space="preserve">, в сравнении с аналогичным периодом 2019 года аварийность </w:t>
      </w: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  <w:t>увеличилось</w:t>
      </w: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  <w:t xml:space="preserve"> </w:t>
      </w: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  <w:t>в</w:t>
      </w: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  <w:t xml:space="preserve"> </w:t>
      </w: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  <w:t>500</w:t>
      </w: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  <w:t xml:space="preserve">% или на </w:t>
      </w: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  <w:t>40</w:t>
      </w: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  <w:t xml:space="preserve"> случа</w:t>
      </w: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  <w:t>ев</w:t>
      </w: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  <w:t xml:space="preserve">, а в сравнении с 2018 годом аварийность </w:t>
      </w: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  <w:t>увеличилось</w:t>
      </w: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  <w:t xml:space="preserve"> на </w:t>
      </w: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  <w:t>860</w:t>
      </w: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  <w:t>% ил</w:t>
      </w: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  <w:t>и</w:t>
      </w: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  <w:t xml:space="preserve"> на </w:t>
      </w: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  <w:t>43</w:t>
      </w: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  <w:t xml:space="preserve"> случа</w:t>
      </w: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  <w:t>я</w:t>
      </w: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  <w:t>.</w:t>
      </w:r>
    </w:p>
    <w:p>
      <w:pPr>
        <w:pStyle w:val="Normal"/>
        <w:widowControl w:val="false"/>
        <w:spacing w:lineRule="exact" w:line="400" w:before="0" w:after="0"/>
        <w:jc w:val="right"/>
        <w:rPr>
          <w:rFonts w:ascii="Times New Roman" w:hAnsi="Times New Roman" w:cs="Times New Roman"/>
          <w:color w:val="0D0D0D"/>
          <w:sz w:val="28"/>
          <w:szCs w:val="28"/>
          <w:lang w:eastAsia="x-none"/>
        </w:rPr>
      </w:pP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</w:r>
    </w:p>
    <w:tbl>
      <w:tblPr>
        <w:tblW w:w="10314" w:type="dxa"/>
        <w:jc w:val="left"/>
        <w:tblInd w:w="10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1945"/>
        <w:gridCol w:w="1282"/>
        <w:gridCol w:w="2834"/>
        <w:gridCol w:w="4252"/>
      </w:tblGrid>
      <w:tr>
        <w:trPr>
          <w:trHeight w:val="1077" w:hRule="atLeast"/>
        </w:trPr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  <w:lang w:eastAsia="x-none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  <w:lang w:eastAsia="x-none"/>
              </w:rPr>
              <w:t>ВСЕГО</w:t>
            </w:r>
          </w:p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  <w:lang w:eastAsia="x-none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  <w:lang w:eastAsia="x-none"/>
              </w:rPr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 xml:space="preserve">В том числе - </w:t>
            </w: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  <w:lang w:eastAsia="x-none"/>
              </w:rPr>
              <w:t>по вине персонала</w:t>
            </w:r>
          </w:p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>АО «ЮЭСК»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  <w:lang w:eastAsia="x-none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 xml:space="preserve">В том числе - аварии, расследование которых осуществляет </w:t>
            </w: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  <w:lang w:eastAsia="x-none"/>
              </w:rPr>
              <w:t>Ростехнадзор</w:t>
            </w:r>
          </w:p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>(по п.4. Правил расследования причин аварий в эл/энергетике)</w:t>
            </w:r>
          </w:p>
        </w:tc>
      </w:tr>
      <w:tr>
        <w:trPr>
          <w:trHeight w:val="741" w:hRule="atLeast"/>
        </w:trPr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>2020 год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>48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>по вине персонала нет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>нет</w:t>
            </w:r>
          </w:p>
        </w:tc>
      </w:tr>
      <w:tr>
        <w:trPr/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>2019 год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>8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>по вине персонала нет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>нет</w:t>
            </w:r>
          </w:p>
        </w:tc>
      </w:tr>
      <w:tr>
        <w:trPr/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>2018 год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>5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>по вине персонала нет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>нет</w:t>
            </w:r>
          </w:p>
        </w:tc>
      </w:tr>
    </w:tbl>
    <w:p>
      <w:pPr>
        <w:pStyle w:val="Normal"/>
        <w:widowControl w:val="false"/>
        <w:spacing w:lineRule="exact" w:line="400" w:before="0" w:after="0"/>
        <w:jc w:val="both"/>
        <w:rPr>
          <w:rFonts w:ascii="Times New Roman" w:hAnsi="Times New Roman" w:cs="Times New Roman"/>
          <w:b/>
          <w:color w:val="0D0D0D"/>
          <w:sz w:val="28"/>
          <w:szCs w:val="28"/>
        </w:rPr>
      </w:pPr>
      <w:r>
        <w:rPr>
          <w:rFonts w:cs="Times New Roman" w:ascii="Times New Roman" w:hAnsi="Times New Roman"/>
          <w:b/>
          <w:color w:val="0D0D0D"/>
          <w:sz w:val="28"/>
          <w:szCs w:val="28"/>
        </w:rPr>
      </w:r>
    </w:p>
    <w:p>
      <w:pPr>
        <w:pStyle w:val="Normal"/>
        <w:widowControl w:val="false"/>
        <w:spacing w:lineRule="exact" w:line="400" w:before="0" w:after="0"/>
        <w:jc w:val="both"/>
        <w:rPr>
          <w:rFonts w:ascii="Times New Roman" w:hAnsi="Times New Roman" w:cs="Times New Roman"/>
          <w:b/>
          <w:color w:val="0D0D0D"/>
          <w:sz w:val="28"/>
          <w:szCs w:val="28"/>
        </w:rPr>
      </w:pPr>
      <w:r>
        <w:rPr>
          <w:rFonts w:cs="Times New Roman" w:ascii="Times New Roman" w:hAnsi="Times New Roman"/>
          <w:b/>
          <w:color w:val="0D0D0D"/>
          <w:sz w:val="28"/>
          <w:szCs w:val="28"/>
        </w:rPr>
        <w:t>Распределение аварий по подразделениям АО «ЮЭСК»:</w:t>
      </w:r>
    </w:p>
    <w:tbl>
      <w:tblPr>
        <w:tblW w:w="10143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 w:noVBand="0" w:noHBand="0" w:lastColumn="0" w:firstColumn="0" w:lastRow="0" w:firstRow="0"/>
      </w:tblPr>
      <w:tblGrid>
        <w:gridCol w:w="1364"/>
        <w:gridCol w:w="613"/>
        <w:gridCol w:w="641"/>
        <w:gridCol w:w="627"/>
        <w:gridCol w:w="614"/>
        <w:gridCol w:w="614"/>
        <w:gridCol w:w="682"/>
        <w:gridCol w:w="627"/>
        <w:gridCol w:w="750"/>
        <w:gridCol w:w="859"/>
        <w:gridCol w:w="886"/>
        <w:gridCol w:w="928"/>
        <w:gridCol w:w="938"/>
      </w:tblGrid>
      <w:tr>
        <w:trPr>
          <w:trHeight w:val="220" w:hRule="atLeast"/>
          <w:cantSplit w:val="true"/>
        </w:trPr>
        <w:tc>
          <w:tcPr>
            <w:tcW w:w="13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E5F1" w:val="clear"/>
            <w:vAlign w:val="center"/>
          </w:tcPr>
          <w:p>
            <w:pPr>
              <w:pStyle w:val="Heading4"/>
              <w:keepNext w:val="false"/>
              <w:widowControl w:val="false"/>
              <w:tabs>
                <w:tab w:val="clear" w:pos="708"/>
                <w:tab w:val="left" w:pos="1091" w:leader="none"/>
                <w:tab w:val="left" w:pos="1473" w:leader="none"/>
              </w:tabs>
              <w:spacing w:lineRule="exact" w:line="400"/>
              <w:ind w:right="-163" w:hanging="0"/>
              <w:jc w:val="center"/>
              <w:rPr>
                <w:rFonts w:eastAsia="Arial Unicode MS"/>
                <w:b/>
                <w:bCs/>
                <w:i w:val="false"/>
                <w:i w:val="false"/>
                <w:color w:val="0D0D0D"/>
                <w:sz w:val="20"/>
                <w:szCs w:val="20"/>
              </w:rPr>
            </w:pPr>
            <w:r>
              <w:rPr>
                <w:b/>
                <w:i w:val="false"/>
                <w:color w:val="0D0D0D"/>
                <w:sz w:val="20"/>
                <w:szCs w:val="20"/>
              </w:rPr>
              <w:t>Энерго-предприятия</w:t>
            </w:r>
          </w:p>
        </w:tc>
        <w:tc>
          <w:tcPr>
            <w:tcW w:w="379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E5F1" w:val="clear"/>
            <w:vAlign w:val="center"/>
          </w:tcPr>
          <w:p>
            <w:pPr>
              <w:pStyle w:val="Heading8"/>
              <w:keepNext w:val="false"/>
              <w:widowControl w:val="false"/>
              <w:spacing w:lineRule="exact" w:line="400"/>
              <w:ind w:hanging="0"/>
              <w:jc w:val="center"/>
              <w:rPr>
                <w:bCs w:val="false"/>
                <w:color w:val="0D0D0D"/>
                <w:sz w:val="20"/>
              </w:rPr>
            </w:pPr>
            <w:r>
              <w:rPr>
                <w:bCs w:val="false"/>
                <w:color w:val="0D0D0D"/>
                <w:sz w:val="20"/>
              </w:rPr>
              <w:t>Аварийность</w:t>
            </w:r>
          </w:p>
        </w:tc>
        <w:tc>
          <w:tcPr>
            <w:tcW w:w="2236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E5F1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  <w:u w:val="single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Недоотпуск</w:t>
            </w: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  <w:u w:val="single"/>
              </w:rPr>
              <w:t xml:space="preserve"> </w:t>
            </w: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электроэнергии</w:t>
            </w:r>
          </w:p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(тыс. кВт. час) /</w:t>
            </w:r>
          </w:p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D0D0D"/>
                <w:sz w:val="20"/>
                <w:szCs w:val="20"/>
              </w:rPr>
            </w:r>
          </w:p>
        </w:tc>
        <w:tc>
          <w:tcPr>
            <w:tcW w:w="2752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E5F1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Экономический ущерб</w:t>
            </w:r>
          </w:p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(тыс. руб.)</w:t>
            </w:r>
          </w:p>
        </w:tc>
      </w:tr>
      <w:tr>
        <w:trPr>
          <w:trHeight w:val="220" w:hRule="atLeast"/>
          <w:cantSplit w:val="true"/>
        </w:trPr>
        <w:tc>
          <w:tcPr>
            <w:tcW w:w="13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E5F1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eastAsia="Arial Unicode MS" w:cs="Times New Roman"/>
                <w:color w:val="0D0D0D"/>
                <w:sz w:val="20"/>
                <w:szCs w:val="20"/>
              </w:rPr>
            </w:pPr>
            <w:r>
              <w:rPr>
                <w:rFonts w:eastAsia="Arial Unicode MS" w:cs="Times New Roman" w:ascii="Times New Roman" w:hAnsi="Times New Roman"/>
                <w:color w:val="0D0D0D"/>
                <w:sz w:val="20"/>
                <w:szCs w:val="20"/>
              </w:rPr>
            </w:r>
          </w:p>
        </w:tc>
        <w:tc>
          <w:tcPr>
            <w:tcW w:w="18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E5F1" w:val="clear"/>
            <w:vAlign w:val="center"/>
          </w:tcPr>
          <w:p>
            <w:pPr>
              <w:pStyle w:val="Heading4"/>
              <w:keepNext w:val="false"/>
              <w:widowControl w:val="false"/>
              <w:spacing w:lineRule="exact" w:line="400"/>
              <w:jc w:val="center"/>
              <w:rPr>
                <w:b/>
                <w:i w:val="false"/>
                <w:i w:val="false"/>
                <w:color w:val="0D0D0D"/>
                <w:sz w:val="20"/>
                <w:szCs w:val="20"/>
              </w:rPr>
            </w:pPr>
            <w:r>
              <w:rPr>
                <w:b/>
                <w:i w:val="false"/>
                <w:color w:val="0D0D0D"/>
                <w:sz w:val="20"/>
                <w:szCs w:val="20"/>
              </w:rPr>
              <w:t>Всего</w:t>
            </w:r>
          </w:p>
        </w:tc>
        <w:tc>
          <w:tcPr>
            <w:tcW w:w="19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E5F1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В т.ч.</w:t>
            </w:r>
          </w:p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по вине персонала</w:t>
            </w:r>
          </w:p>
        </w:tc>
        <w:tc>
          <w:tcPr>
            <w:tcW w:w="2236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E5F1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D0D0D"/>
                <w:sz w:val="20"/>
                <w:szCs w:val="20"/>
              </w:rPr>
            </w:r>
          </w:p>
        </w:tc>
        <w:tc>
          <w:tcPr>
            <w:tcW w:w="2752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E5F1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D0D0D"/>
                <w:sz w:val="20"/>
                <w:szCs w:val="20"/>
              </w:rPr>
            </w:r>
          </w:p>
        </w:tc>
      </w:tr>
      <w:tr>
        <w:trPr>
          <w:trHeight w:val="220" w:hRule="atLeast"/>
          <w:cantSplit w:val="true"/>
        </w:trPr>
        <w:tc>
          <w:tcPr>
            <w:tcW w:w="13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E5F1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eastAsia="Arial Unicode MS" w:cs="Times New Roman"/>
                <w:color w:val="0D0D0D"/>
                <w:sz w:val="20"/>
                <w:szCs w:val="20"/>
              </w:rPr>
            </w:pPr>
            <w:r>
              <w:rPr>
                <w:rFonts w:eastAsia="Arial Unicode MS" w:cs="Times New Roman" w:ascii="Times New Roman" w:hAnsi="Times New Roman"/>
                <w:color w:val="0D0D0D"/>
                <w:sz w:val="20"/>
                <w:szCs w:val="20"/>
              </w:rPr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E5F1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ind w:left="-66" w:firstLine="41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2018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E5F1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ind w:left="-66" w:firstLine="41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2019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E5F1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ind w:left="-66" w:firstLine="41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2020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E5F1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ind w:left="-66" w:firstLine="41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2018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E5F1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ind w:left="-66" w:firstLine="41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2019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E5F1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ind w:left="-66" w:firstLine="41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2020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E5F1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ind w:left="-66" w:firstLine="41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2018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E5F1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ind w:left="-66" w:firstLine="41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2019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E5F1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ind w:left="-66" w:firstLine="41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2020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E5F1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ind w:left="-66" w:firstLine="41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2018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E5F1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ind w:left="-66" w:firstLine="41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2019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E5F1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ind w:left="-66" w:firstLine="41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2020</w:t>
            </w:r>
          </w:p>
        </w:tc>
      </w:tr>
      <w:tr>
        <w:trPr>
          <w:trHeight w:val="343" w:hRule="atLeast"/>
          <w:cantSplit w:val="true"/>
        </w:trPr>
        <w:tc>
          <w:tcPr>
            <w:tcW w:w="10143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АО «ЮЭСК»</w:t>
            </w:r>
          </w:p>
        </w:tc>
      </w:tr>
      <w:tr>
        <w:trPr>
          <w:trHeight w:val="220" w:hRule="atLeast"/>
          <w:cantSplit w:val="true"/>
        </w:trPr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BD4B4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eastAsia="Arial Unicode MS" w:cs="Times New Roman"/>
                <w:b/>
                <w:color w:val="0D0D0D"/>
                <w:sz w:val="20"/>
                <w:szCs w:val="20"/>
              </w:rPr>
            </w:pPr>
            <w:r>
              <w:rPr>
                <w:rFonts w:eastAsia="Arial Unicode MS" w:cs="Times New Roman" w:ascii="Times New Roman" w:hAnsi="Times New Roman"/>
                <w:b/>
                <w:color w:val="0D0D0D"/>
                <w:sz w:val="20"/>
                <w:szCs w:val="20"/>
              </w:rPr>
              <w:t>ВСЕГО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BD4B4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ind w:left="-78" w:right="-95" w:hanging="0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BD4B4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ind w:left="-78" w:right="-95" w:hanging="0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8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BD4B4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ind w:left="-78" w:right="-95" w:hanging="0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3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BD4B4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ind w:left="-78" w:right="-95" w:hanging="0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0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BD4B4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ind w:left="-78" w:right="-95" w:hanging="0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0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BD4B4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ind w:left="-78" w:right="-95" w:hanging="0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0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BD4B4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ind w:left="-78" w:right="-95" w:hanging="0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44,07/0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BD4B4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ind w:left="-78" w:right="-95" w:hanging="0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36,</w:t>
            </w: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8</w:t>
            </w: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03/0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BD4B4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ind w:left="-78" w:right="-95" w:hanging="0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6,661</w:t>
            </w: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/0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BD4B4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ind w:left="-78" w:right="-95" w:hanging="0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1132,706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BD4B4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ind w:left="-78" w:right="-95" w:hanging="0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17256,023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BD4B4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ind w:left="-78" w:right="-95" w:hanging="0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1952,224</w:t>
            </w:r>
          </w:p>
        </w:tc>
      </w:tr>
    </w:tbl>
    <w:p>
      <w:pPr>
        <w:pStyle w:val="Normal"/>
        <w:widowControl w:val="false"/>
        <w:spacing w:lineRule="exact" w:line="400" w:before="0" w:after="0"/>
        <w:jc w:val="both"/>
        <w:rPr>
          <w:rFonts w:ascii="Times New Roman" w:hAnsi="Times New Roman" w:cs="Times New Roman"/>
          <w:b/>
          <w:color w:val="0D0D0D"/>
          <w:sz w:val="28"/>
          <w:szCs w:val="28"/>
        </w:rPr>
      </w:pPr>
      <w:bookmarkStart w:id="0" w:name="_Toc246939506"/>
      <w:r>
        <w:rPr>
          <w:rFonts w:cs="Times New Roman" w:ascii="Times New Roman" w:hAnsi="Times New Roman"/>
          <w:b/>
          <w:color w:val="0D0D0D"/>
          <w:sz w:val="28"/>
          <w:szCs w:val="28"/>
        </w:rPr>
        <w:t>Анализ аварийности на объектах АО «ЮЭСК».</w:t>
      </w:r>
    </w:p>
    <w:tbl>
      <w:tblPr>
        <w:tblW w:w="9781" w:type="dxa"/>
        <w:jc w:val="left"/>
        <w:tblInd w:w="-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5597"/>
        <w:gridCol w:w="1450"/>
        <w:gridCol w:w="1448"/>
        <w:gridCol w:w="1285"/>
      </w:tblGrid>
      <w:tr>
        <w:trPr/>
        <w:tc>
          <w:tcPr>
            <w:tcW w:w="5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</w:r>
          </w:p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Классификационные признаки видов оборудования (код)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2018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2019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2020</w:t>
            </w:r>
          </w:p>
        </w:tc>
      </w:tr>
      <w:tr>
        <w:trPr/>
        <w:tc>
          <w:tcPr>
            <w:tcW w:w="5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Линии электропередачи 6 – 35 кВ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val="en-US"/>
              </w:rPr>
              <w:t xml:space="preserve"> (3.3.11)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3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7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29</w:t>
            </w:r>
          </w:p>
        </w:tc>
      </w:tr>
      <w:tr>
        <w:trPr/>
        <w:tc>
          <w:tcPr>
            <w:tcW w:w="5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ПС и ТП 6 – 35 кВ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val="en-US"/>
              </w:rPr>
              <w:t xml:space="preserve"> (3.3.13)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-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-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16</w:t>
            </w:r>
          </w:p>
        </w:tc>
      </w:tr>
      <w:tr>
        <w:trPr/>
        <w:tc>
          <w:tcPr>
            <w:tcW w:w="55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Устройства релейной защиты и автоматики (3.3.15)</w:t>
            </w:r>
          </w:p>
        </w:tc>
        <w:tc>
          <w:tcPr>
            <w:tcW w:w="1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1</w:t>
            </w:r>
          </w:p>
        </w:tc>
        <w:tc>
          <w:tcPr>
            <w:tcW w:w="14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-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-</w:t>
            </w:r>
          </w:p>
        </w:tc>
      </w:tr>
      <w:tr>
        <w:trPr/>
        <w:tc>
          <w:tcPr>
            <w:tcW w:w="5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Другие виды оборудования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val="en-US"/>
              </w:rPr>
              <w:t xml:space="preserve"> (3.3.20)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1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1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3</w:t>
            </w:r>
          </w:p>
        </w:tc>
      </w:tr>
    </w:tbl>
    <w:p>
      <w:pPr>
        <w:pStyle w:val="Normal"/>
        <w:widowControl w:val="false"/>
        <w:spacing w:lineRule="exact" w:line="400" w:before="0" w:after="0"/>
        <w:jc w:val="both"/>
        <w:rPr>
          <w:rFonts w:ascii="Times New Roman" w:hAnsi="Times New Roman" w:cs="Times New Roman"/>
          <w:b/>
          <w:color w:val="0D0D0D"/>
          <w:sz w:val="28"/>
          <w:szCs w:val="28"/>
        </w:rPr>
      </w:pPr>
      <w:r>
        <w:rPr>
          <w:rFonts w:cs="Times New Roman" w:ascii="Times New Roman" w:hAnsi="Times New Roman"/>
          <w:b/>
          <w:color w:val="0D0D0D"/>
          <w:sz w:val="28"/>
          <w:szCs w:val="28"/>
        </w:rPr>
      </w:r>
    </w:p>
    <w:p>
      <w:pPr>
        <w:pStyle w:val="Normal"/>
        <w:widowControl w:val="false"/>
        <w:spacing w:lineRule="exact" w:line="400" w:before="0" w:after="0"/>
        <w:jc w:val="both"/>
        <w:rPr>
          <w:rFonts w:ascii="Times New Roman" w:hAnsi="Times New Roman" w:cs="Times New Roman"/>
          <w:b/>
          <w:color w:val="0D0D0D"/>
          <w:sz w:val="28"/>
          <w:szCs w:val="28"/>
        </w:rPr>
      </w:pPr>
      <w:r>
        <w:rPr>
          <w:rFonts w:cs="Times New Roman" w:ascii="Times New Roman" w:hAnsi="Times New Roman"/>
          <w:b/>
          <w:color w:val="0D0D0D"/>
          <w:sz w:val="28"/>
          <w:szCs w:val="28"/>
        </w:rPr>
        <w:t>Анализ аварийности на объектах АО «ЮЭСК» в разрезе организационных причин аварий.</w:t>
      </w:r>
    </w:p>
    <w:tbl>
      <w:tblPr>
        <w:tblW w:w="9752" w:type="dxa"/>
        <w:jc w:val="left"/>
        <w:tblInd w:w="-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5605"/>
        <w:gridCol w:w="1348"/>
        <w:gridCol w:w="1410"/>
        <w:gridCol w:w="1388"/>
      </w:tblGrid>
      <w:tr>
        <w:trPr/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Классификационные признаки организационных причин аварий (код)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2018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2019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2020</w:t>
            </w:r>
          </w:p>
        </w:tc>
      </w:tr>
      <w:tr>
        <w:trPr/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1250" w:leader="none"/>
              </w:tabs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Ошибочные или неправильные действия оперативного и (или) диспетчерского персонала  (3.4.1)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-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-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-</w:t>
            </w:r>
          </w:p>
        </w:tc>
      </w:tr>
      <w:tr>
        <w:trPr/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Несоблюдение сроков ТО и ремонта оборудования, устройств (3.4.7.1)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-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1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-</w:t>
            </w:r>
          </w:p>
        </w:tc>
      </w:tr>
      <w:tr>
        <w:trPr/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Несоблюдение объемов ТО и ремонта оборудования, устройств (3.4.7.2)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-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-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5</w:t>
            </w:r>
          </w:p>
        </w:tc>
      </w:tr>
      <w:tr>
        <w:trPr/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Несвоевременное выявление и устранение дефектов (3.4.7.3)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-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1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2</w:t>
            </w:r>
          </w:p>
        </w:tc>
      </w:tr>
      <w:tr>
        <w:trPr/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Прочие нарушения (3.4.7.4)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-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-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-</w:t>
            </w:r>
          </w:p>
        </w:tc>
      </w:tr>
      <w:tr>
        <w:trPr/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Прочие воздействия (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 xml:space="preserve">3.4.8.1 - 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3.4.8.5)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-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-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2</w:t>
            </w:r>
          </w:p>
        </w:tc>
      </w:tr>
      <w:tr>
        <w:trPr/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Внешнее воздействие (3.4.9.1-3.4.9.3, 3.4.10)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-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-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25</w:t>
            </w:r>
          </w:p>
        </w:tc>
      </w:tr>
      <w:tr>
        <w:trPr/>
        <w:tc>
          <w:tcPr>
            <w:tcW w:w="5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Гололедно-изморозевые отложения (3.4.12.1)</w:t>
            </w:r>
          </w:p>
        </w:tc>
        <w:tc>
          <w:tcPr>
            <w:tcW w:w="13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1</w:t>
            </w:r>
          </w:p>
        </w:tc>
        <w:tc>
          <w:tcPr>
            <w:tcW w:w="14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3</w:t>
            </w:r>
          </w:p>
        </w:tc>
        <w:tc>
          <w:tcPr>
            <w:tcW w:w="13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-</w:t>
            </w:r>
          </w:p>
        </w:tc>
      </w:tr>
      <w:tr>
        <w:trPr/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Ветровые нагрузки (3.4.12.2)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4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11</w:t>
            </w:r>
          </w:p>
        </w:tc>
      </w:tr>
      <w:tr>
        <w:trPr/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Прочие воздействия неблагоприятных природных явлений (3.4.12.5)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-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-</w:t>
            </w:r>
          </w:p>
        </w:tc>
      </w:tr>
      <w:tr>
        <w:trPr/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bidi w:val="0"/>
              <w:spacing w:before="0" w:after="160"/>
              <w:jc w:val="left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 xml:space="preserve">Дефекты конструкции, изготовления, монтажа и наладки оборудования 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(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3.4.13.1, 3.4.13.4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)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-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-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1</w:t>
            </w:r>
          </w:p>
        </w:tc>
      </w:tr>
      <w:tr>
        <w:trPr/>
        <w:tc>
          <w:tcPr>
            <w:tcW w:w="5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Не выявленные причины (3.4.14)</w:t>
            </w:r>
          </w:p>
        </w:tc>
        <w:tc>
          <w:tcPr>
            <w:tcW w:w="13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2</w:t>
            </w:r>
          </w:p>
        </w:tc>
        <w:tc>
          <w:tcPr>
            <w:tcW w:w="14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2</w:t>
            </w:r>
          </w:p>
        </w:tc>
        <w:tc>
          <w:tcPr>
            <w:tcW w:w="13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2</w:t>
            </w:r>
          </w:p>
        </w:tc>
      </w:tr>
    </w:tbl>
    <w:p>
      <w:pPr>
        <w:pStyle w:val="Normal"/>
        <w:widowControl w:val="false"/>
        <w:spacing w:lineRule="exact" w:line="400" w:before="0" w:after="0"/>
        <w:ind w:left="-142" w:firstLine="851"/>
        <w:jc w:val="both"/>
        <w:rPr>
          <w:rFonts w:ascii="Times New Roman" w:hAnsi="Times New Roman" w:cs="Times New Roman"/>
          <w:b/>
          <w:color w:val="0D0D0D"/>
          <w:sz w:val="28"/>
          <w:szCs w:val="28"/>
        </w:rPr>
      </w:pPr>
      <w:r>
        <w:rPr>
          <w:rFonts w:cs="Times New Roman" w:ascii="Times New Roman" w:hAnsi="Times New Roman"/>
          <w:b/>
          <w:color w:val="0D0D0D"/>
          <w:sz w:val="28"/>
          <w:szCs w:val="28"/>
        </w:rPr>
      </w:r>
    </w:p>
    <w:p>
      <w:pPr>
        <w:pStyle w:val="Normal"/>
        <w:widowControl w:val="false"/>
        <w:spacing w:lineRule="exact" w:line="400" w:before="0" w:after="0"/>
        <w:jc w:val="both"/>
        <w:rPr>
          <w:rFonts w:ascii="Times New Roman" w:hAnsi="Times New Roman" w:cs="Times New Roman"/>
          <w:b/>
          <w:color w:val="0D0D0D"/>
          <w:sz w:val="28"/>
          <w:szCs w:val="28"/>
        </w:rPr>
      </w:pPr>
      <w:r>
        <w:rPr>
          <w:rFonts w:cs="Times New Roman" w:ascii="Times New Roman" w:hAnsi="Times New Roman"/>
          <w:b/>
          <w:color w:val="0D0D0D"/>
          <w:sz w:val="28"/>
          <w:szCs w:val="28"/>
        </w:rPr>
        <w:t>Выполнение мероприятий по актам расследования причин аварий</w:t>
      </w:r>
    </w:p>
    <w:tbl>
      <w:tblPr>
        <w:tblW w:w="10490" w:type="dxa"/>
        <w:jc w:val="left"/>
        <w:tblInd w:w="-516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noVBand="0" w:noHBand="0" w:lastColumn="0" w:firstColumn="0" w:lastRow="0" w:firstRow="0"/>
      </w:tblPr>
      <w:tblGrid>
        <w:gridCol w:w="3235"/>
        <w:gridCol w:w="1379"/>
        <w:gridCol w:w="1646"/>
        <w:gridCol w:w="1557"/>
        <w:gridCol w:w="2673"/>
      </w:tblGrid>
      <w:tr>
        <w:trPr>
          <w:trHeight w:val="846" w:hRule="atLeast"/>
        </w:trPr>
        <w:tc>
          <w:tcPr>
            <w:tcW w:w="3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highlight w:val="yellow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  <w:highlight w:val="yellow"/>
              </w:rPr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Всего аварий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Количество установленных мероприятий в акте расследования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Количество выполненных мероприятий</w:t>
            </w:r>
          </w:p>
        </w:tc>
        <w:tc>
          <w:tcPr>
            <w:tcW w:w="2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Количество невыполненных мероприятий в установленный срок</w:t>
            </w:r>
          </w:p>
        </w:tc>
      </w:tr>
      <w:tr>
        <w:trPr>
          <w:trHeight w:val="688" w:hRule="atLeast"/>
        </w:trPr>
        <w:tc>
          <w:tcPr>
            <w:tcW w:w="3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DBDB" w:val="clea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Всего с начала 2020 года,  из них: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DBDB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0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DBDB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DBDB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0</w:t>
            </w:r>
          </w:p>
        </w:tc>
        <w:tc>
          <w:tcPr>
            <w:tcW w:w="2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DBDB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  <w:highlight w:val="yellow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0</w:t>
            </w:r>
          </w:p>
        </w:tc>
      </w:tr>
      <w:tr>
        <w:trPr>
          <w:trHeight w:val="660" w:hRule="atLeast"/>
        </w:trPr>
        <w:tc>
          <w:tcPr>
            <w:tcW w:w="3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DBDB" w:val="clea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на электросетевом оборудовании 6-35 кВ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DBDB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0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DBDB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DBDB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0</w:t>
            </w:r>
          </w:p>
        </w:tc>
        <w:tc>
          <w:tcPr>
            <w:tcW w:w="2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DBDB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0</w:t>
            </w:r>
          </w:p>
        </w:tc>
      </w:tr>
      <w:tr>
        <w:trPr>
          <w:trHeight w:val="192" w:hRule="atLeast"/>
        </w:trPr>
        <w:tc>
          <w:tcPr>
            <w:tcW w:w="3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DBDB" w:val="clea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highlight w:val="yellow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на станциях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DBDB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0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DBDB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DBDB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0</w:t>
            </w:r>
          </w:p>
        </w:tc>
        <w:tc>
          <w:tcPr>
            <w:tcW w:w="2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DBDB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bookmarkStart w:id="1" w:name="_Toc246939506"/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0</w:t>
            </w:r>
            <w:bookmarkEnd w:id="1"/>
          </w:p>
        </w:tc>
      </w:tr>
    </w:tbl>
    <w:p>
      <w:pPr>
        <w:pStyle w:val="Header"/>
        <w:widowControl w:val="false"/>
        <w:tabs>
          <w:tab w:val="center" w:pos="4153" w:leader="none"/>
          <w:tab w:val="left" w:pos="6855" w:leader="none"/>
          <w:tab w:val="center" w:pos="7426" w:leader="none"/>
          <w:tab w:val="right" w:pos="8306" w:leader="none"/>
        </w:tabs>
        <w:spacing w:lineRule="exact" w:line="400"/>
        <w:ind w:left="-284" w:firstLine="1277"/>
        <w:jc w:val="both"/>
        <w:rPr>
          <w:color w:val="0D0D0D"/>
          <w:sz w:val="28"/>
          <w:szCs w:val="28"/>
        </w:rPr>
      </w:pPr>
      <w:r>
        <w:rPr>
          <w:color w:val="0D0D0D"/>
          <w:sz w:val="28"/>
          <w:szCs w:val="28"/>
        </w:rPr>
      </w:r>
    </w:p>
    <w:p>
      <w:pPr>
        <w:pStyle w:val="Header"/>
        <w:widowControl w:val="false"/>
        <w:tabs>
          <w:tab w:val="center" w:pos="4153" w:leader="none"/>
          <w:tab w:val="left" w:pos="6855" w:leader="none"/>
          <w:tab w:val="center" w:pos="7426" w:leader="none"/>
          <w:tab w:val="right" w:pos="8306" w:leader="none"/>
        </w:tabs>
        <w:spacing w:lineRule="exact" w:line="400"/>
        <w:ind w:left="-284" w:firstLine="1277"/>
        <w:jc w:val="both"/>
        <w:rPr>
          <w:color w:val="0D0D0D"/>
          <w:sz w:val="28"/>
          <w:szCs w:val="28"/>
        </w:rPr>
      </w:pPr>
      <w:r>
        <w:rPr>
          <w:color w:val="0D0D0D"/>
          <w:sz w:val="28"/>
          <w:szCs w:val="28"/>
        </w:rPr>
        <w:t>Не выполненных в установленный срок мероприятий по актам расследования причин аварий за 2018–2020 год — нет.</w:t>
      </w:r>
      <w:bookmarkStart w:id="2" w:name="_GoBack"/>
      <w:bookmarkEnd w:id="2"/>
    </w:p>
    <w:p>
      <w:pPr>
        <w:pStyle w:val="BodyText"/>
        <w:spacing w:lineRule="exact" w:line="400"/>
        <w:jc w:val="lef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</w:r>
    </w:p>
    <w:p>
      <w:pPr>
        <w:pStyle w:val="BodyText"/>
        <w:spacing w:lineRule="exact" w:line="400"/>
        <w:jc w:val="lef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</w:r>
    </w:p>
    <w:p>
      <w:pPr>
        <w:pStyle w:val="BodyText"/>
        <w:spacing w:lineRule="exact" w:line="400"/>
        <w:jc w:val="lef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И.о. заместителя</w:t>
      </w:r>
      <w:r>
        <w:rPr>
          <w:sz w:val="28"/>
          <w:szCs w:val="28"/>
        </w:rPr>
        <w:t xml:space="preserve"> исполнительного директора </w:t>
      </w:r>
    </w:p>
    <w:p>
      <w:pPr>
        <w:pStyle w:val="BodyText"/>
        <w:spacing w:lineRule="exact" w:line="400"/>
        <w:jc w:val="left"/>
        <w:rPr>
          <w:sz w:val="28"/>
          <w:szCs w:val="28"/>
        </w:rPr>
      </w:pPr>
      <w:r>
        <w:rPr>
          <w:sz w:val="28"/>
          <w:szCs w:val="28"/>
        </w:rPr>
        <w:t>–</w:t>
      </w: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главн</w:t>
      </w:r>
      <w:r>
        <w:rPr>
          <w:sz w:val="28"/>
          <w:szCs w:val="28"/>
          <w:lang w:val="ru-RU"/>
        </w:rPr>
        <w:t>ого</w:t>
      </w:r>
      <w:r>
        <w:rPr>
          <w:sz w:val="28"/>
          <w:szCs w:val="28"/>
        </w:rPr>
        <w:t xml:space="preserve"> инженер</w:t>
      </w:r>
      <w:r>
        <w:rPr>
          <w:sz w:val="28"/>
          <w:szCs w:val="28"/>
          <w:lang w:val="ru-RU"/>
        </w:rPr>
        <w:t>а</w:t>
      </w:r>
      <w:r>
        <w:rPr>
          <w:sz w:val="28"/>
          <w:szCs w:val="28"/>
        </w:rPr>
        <w:tab/>
        <w:tab/>
        <w:tab/>
        <w:tab/>
        <w:tab/>
        <w:tab/>
        <w:tab/>
        <w:tab/>
      </w:r>
      <w:r>
        <w:rPr>
          <w:sz w:val="28"/>
          <w:szCs w:val="28"/>
          <w:lang w:val="ru-RU"/>
        </w:rPr>
        <w:t xml:space="preserve">    Д.В. Карташев</w:t>
      </w:r>
    </w:p>
    <w:sectPr>
      <w:type w:val="nextPage"/>
      <w:pgSz w:w="11906" w:h="16838"/>
      <w:pgMar w:left="1134" w:right="849" w:gutter="0" w:header="0" w:top="709" w:footer="0" w:bottom="426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Calibri">
    <w:charset w:val="01"/>
    <w:family w:val="roman"/>
    <w:pitch w:val="variable"/>
    <w:embedRegular r:id="rId5" w:fontKey="{05014A78-CABC-4EF0-12AC-5CD89AEFDE05}"/>
    <w:embedBold r:id="rId6" w:fontKey="{06014A78-CABC-4EF0-12AC-5CD89AEFDE06}"/>
  </w:font>
  <w:font w:name="Times New Roman">
    <w:charset w:val="01"/>
    <w:family w:val="roman"/>
    <w:pitch w:val="variable"/>
  </w:font>
  <w:font w:name="Liberation Sans">
    <w:altName w:val="Arial"/>
    <w:charset w:val="01"/>
    <w:family w:val="swiss"/>
    <w:pitch w:val="variable"/>
    <w:embedRegular r:id="rId7" w:fontKey="{07014A78-CABC-4EF0-12AC-5CD89AEFDE07}"/>
    <w:embedBold r:id="rId8" w:fontKey="{08014A78-CABC-4EF0-12AC-5CD89AEFDE08}"/>
    <w:embedItalic r:id="rId9" w:fontKey="{09014A78-CABC-4EF0-12AC-5CD89AEFDE09}"/>
    <w:embedBoldItalic r:id="rId10" w:fontKey="{0A014A78-CABC-4EF0-12AC-5CD89AEFDE0A}"/>
  </w:font>
  <w:font w:name="Avenir Next Cyr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10"/>
  <w:embedTrueTypeFonts/>
  <w:defaultTabStop w:val="708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Body Text" w:uiPriority="0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Heading4">
    <w:name w:val="Heading 4"/>
    <w:basedOn w:val="Normal"/>
    <w:next w:val="Normal"/>
    <w:link w:val="4"/>
    <w:qFormat/>
    <w:rsid w:val="00ca0315"/>
    <w:pPr>
      <w:keepNext w:val="true"/>
      <w:spacing w:lineRule="auto" w:line="240" w:before="0" w:after="0"/>
      <w:jc w:val="right"/>
      <w:outlineLvl w:val="3"/>
    </w:pPr>
    <w:rPr>
      <w:rFonts w:ascii="Times New Roman" w:hAnsi="Times New Roman" w:eastAsia="Times New Roman" w:cs="Times New Roman"/>
      <w:i/>
      <w:iCs/>
      <w:sz w:val="24"/>
      <w:szCs w:val="24"/>
      <w:lang w:eastAsia="ru-RU"/>
    </w:rPr>
  </w:style>
  <w:style w:type="paragraph" w:styleId="Heading8">
    <w:name w:val="Heading 8"/>
    <w:basedOn w:val="Normal"/>
    <w:next w:val="Normal"/>
    <w:link w:val="8"/>
    <w:qFormat/>
    <w:rsid w:val="00ca0315"/>
    <w:pPr>
      <w:keepNext w:val="true"/>
      <w:spacing w:lineRule="auto" w:line="240" w:before="0" w:after="0"/>
      <w:ind w:firstLine="709"/>
      <w:outlineLvl w:val="7"/>
    </w:pPr>
    <w:rPr>
      <w:rFonts w:ascii="Times New Roman" w:hAnsi="Times New Roman" w:eastAsia="Times New Roman" w:cs="Times New Roman"/>
      <w:b/>
      <w:bCs/>
      <w:sz w:val="24"/>
      <w:szCs w:val="20"/>
      <w:lang w:eastAsia="ru-RU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yperlink">
    <w:name w:val="Hyperlink"/>
    <w:basedOn w:val="DefaultParagraphFont"/>
    <w:uiPriority w:val="99"/>
    <w:unhideWhenUsed/>
    <w:rsid w:val="001d74ae"/>
    <w:rPr>
      <w:color w:val="0563C1" w:themeColor="hyperlink"/>
      <w:u w:val="single"/>
    </w:rPr>
  </w:style>
  <w:style w:type="character" w:styleId="4" w:customStyle="1">
    <w:name w:val="Заголовок 4 Знак"/>
    <w:basedOn w:val="DefaultParagraphFont"/>
    <w:qFormat/>
    <w:rsid w:val="00ca0315"/>
    <w:rPr>
      <w:rFonts w:ascii="Times New Roman" w:hAnsi="Times New Roman" w:eastAsia="Times New Roman" w:cs="Times New Roman"/>
      <w:i/>
      <w:iCs/>
      <w:sz w:val="24"/>
      <w:szCs w:val="24"/>
      <w:lang w:eastAsia="ru-RU"/>
    </w:rPr>
  </w:style>
  <w:style w:type="character" w:styleId="8" w:customStyle="1">
    <w:name w:val="Заголовок 8 Знак"/>
    <w:basedOn w:val="DefaultParagraphFont"/>
    <w:qFormat/>
    <w:rsid w:val="00ca0315"/>
    <w:rPr>
      <w:rFonts w:ascii="Times New Roman" w:hAnsi="Times New Roman" w:eastAsia="Times New Roman" w:cs="Times New Roman"/>
      <w:b/>
      <w:bCs/>
      <w:sz w:val="24"/>
      <w:szCs w:val="20"/>
      <w:lang w:eastAsia="ru-RU"/>
    </w:rPr>
  </w:style>
  <w:style w:type="character" w:styleId="Style7" w:customStyle="1">
    <w:name w:val="Основной текст Знак"/>
    <w:basedOn w:val="DefaultParagraphFont"/>
    <w:uiPriority w:val="99"/>
    <w:semiHidden/>
    <w:qFormat/>
    <w:rsid w:val="00ca0315"/>
    <w:rPr/>
  </w:style>
  <w:style w:type="character" w:styleId="Style8" w:customStyle="1">
    <w:name w:val="Верхний колонтитул Знак"/>
    <w:basedOn w:val="DefaultParagraphFont"/>
    <w:qFormat/>
    <w:rsid w:val="00ca0315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2" w:customStyle="1">
    <w:name w:val="Основной текст Знак2"/>
    <w:qFormat/>
    <w:locked/>
    <w:rsid w:val="00ca0315"/>
    <w:rPr>
      <w:rFonts w:ascii="Times New Roman" w:hAnsi="Times New Roman" w:eastAsia="Times New Roman" w:cs="Times New Roman"/>
      <w:sz w:val="24"/>
      <w:szCs w:val="24"/>
      <w:lang w:val="x-none" w:eastAsia="x-none"/>
    </w:rPr>
  </w:style>
  <w:style w:type="character" w:styleId="Style9" w:customStyle="1">
    <w:name w:val="Абзац списка Знак"/>
    <w:link w:val="ListParagraph"/>
    <w:uiPriority w:val="34"/>
    <w:qFormat/>
    <w:locked/>
    <w:rsid w:val="00ca0315"/>
    <w:rPr>
      <w:rFonts w:ascii="Calibri" w:hAnsi="Calibri" w:eastAsia="Calibri" w:cs="Times New Roman"/>
      <w:lang w:val="x-none"/>
    </w:rPr>
  </w:style>
  <w:style w:type="paragraph" w:styleId="Style10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WenQuanYi Zen Hei Sharp" w:cs="Lohit Devanagari"/>
      <w:sz w:val="28"/>
      <w:szCs w:val="28"/>
    </w:rPr>
  </w:style>
  <w:style w:type="paragraph" w:styleId="BodyText">
    <w:name w:val="Body Text"/>
    <w:basedOn w:val="Normal"/>
    <w:link w:val="2"/>
    <w:rsid w:val="00ca0315"/>
    <w:pPr>
      <w:spacing w:lineRule="auto" w:line="240" w:before="0" w:after="0"/>
      <w:jc w:val="both"/>
    </w:pPr>
    <w:rPr>
      <w:rFonts w:ascii="Times New Roman" w:hAnsi="Times New Roman" w:eastAsia="Times New Roman" w:cs="Times New Roman"/>
      <w:sz w:val="24"/>
      <w:szCs w:val="24"/>
      <w:lang w:val="x-none" w:eastAsia="x-none"/>
    </w:rPr>
  </w:style>
  <w:style w:type="paragraph" w:styleId="List">
    <w:name w:val="List"/>
    <w:basedOn w:val="BodyText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11">
    <w:name w:val="Указатель"/>
    <w:basedOn w:val="Normal"/>
    <w:qFormat/>
    <w:pPr>
      <w:suppressLineNumbers/>
    </w:pPr>
    <w:rPr>
      <w:rFonts w:cs="Lohit Devanagari"/>
    </w:rPr>
  </w:style>
  <w:style w:type="paragraph" w:styleId="Style12">
    <w:name w:val="Колонтитул"/>
    <w:basedOn w:val="Normal"/>
    <w:qFormat/>
    <w:pPr/>
    <w:rPr/>
  </w:style>
  <w:style w:type="paragraph" w:styleId="Header">
    <w:name w:val="Header"/>
    <w:basedOn w:val="Normal"/>
    <w:link w:val="Style8"/>
    <w:rsid w:val="00ca0315"/>
    <w:pPr>
      <w:tabs>
        <w:tab w:val="clear" w:pos="708"/>
        <w:tab w:val="center" w:pos="4153" w:leader="none"/>
        <w:tab w:val="right" w:pos="8306" w:leader="none"/>
      </w:tabs>
      <w:spacing w:lineRule="auto" w:line="240" w:before="0" w:after="0"/>
    </w:pPr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ListParagraph">
    <w:name w:val="List Paragraph"/>
    <w:basedOn w:val="Normal"/>
    <w:link w:val="Style9"/>
    <w:uiPriority w:val="34"/>
    <w:qFormat/>
    <w:rsid w:val="00ca0315"/>
    <w:pPr>
      <w:spacing w:lineRule="auto" w:line="276" w:before="0" w:after="200"/>
      <w:ind w:left="720" w:hanging="0"/>
      <w:contextualSpacing/>
    </w:pPr>
    <w:rPr>
      <w:rFonts w:ascii="Calibri" w:hAnsi="Calibri" w:eastAsia="Calibri" w:cs="Times New Roman"/>
      <w:lang w:val="x-none"/>
    </w:rPr>
  </w:style>
  <w:style w:type="paragraph" w:styleId="Style13">
    <w:name w:val="Содержимое таблицы"/>
    <w:basedOn w:val="Normal"/>
    <w:qFormat/>
    <w:pPr>
      <w:widowControl w:val="false"/>
      <w:suppressLineNumbers/>
    </w:pPr>
    <w:rPr/>
  </w:style>
  <w:style w:type="paragraph" w:styleId="Style14">
    <w:name w:val="Заголовок таблицы"/>
    <w:basedOn w:val="Style13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39"/>
    <w:rsid w:val="002f5e1a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1.jpe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177663-6493-4B3E-95A7-3E932D34A2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Application>AlterOffice/3.3.1.3$Linux_X86_64 LibreOffice_project/90d829a0d92d6015ad4fa014ce4f460a7fe6c0ba</Application>
  <AppVersion>15.0000</AppVersion>
  <Pages>3</Pages>
  <Words>444</Words>
  <Characters>2696</Characters>
  <CharactersWithSpaces>3089</CharactersWithSpaces>
  <Paragraphs>163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2020-05-27T20:44:00Z</dcterms:created>
  <dc:creator>Design 4</dc:creator>
  <dc:description/>
  <dc:language>ru-RU</dc:language>
  <cp:lastModifiedBy>maksyukov_af</cp:lastModifiedBy>
  <dcterms:modified xsi:type="dcterms:W3CDTF">2025-03-10T13:59:31Z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